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right="720"/>
        <w:jc w:val="center"/>
        <w:rPr>
          <w:rFonts w:ascii="Verdana" w:cs="Verdana" w:eastAsia="Verdana" w:hAnsi="Verdana"/>
        </w:rPr>
      </w:pPr>
      <w:r w:rsidDel="00000000" w:rsidR="00000000" w:rsidRPr="00000000">
        <w:rPr>
          <w:rFonts w:ascii="Verdana" w:cs="Verdana" w:eastAsia="Verdana" w:hAnsi="Verdana"/>
          <w:b w:val="1"/>
          <w:bCs w:val="1"/>
          <w:rtl w:val="0"/>
        </w:rPr>
        <w:t xml:space="preserve">KOYKAN DRAVA d.o.o. </w:t>
      </w:r>
      <w:r w:rsidDel="00000000" w:rsidR="00000000" w:rsidRPr="00000000">
        <w:rPr>
          <w:rtl w:val="0"/>
        </w:rPr>
      </w:r>
    </w:p>
    <w:p w:rsidR="00000000" w:rsidDel="00000000" w:rsidP="00000000" w:rsidRDefault="00000000" w:rsidRPr="00000000" w14:paraId="00000002">
      <w:pPr>
        <w:spacing w:after="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Prilaz Gjure Deželića 80, 10000 Zagreb</w:t>
      </w:r>
    </w:p>
    <w:p w:rsidR="00000000" w:rsidDel="00000000" w:rsidP="00000000" w:rsidRDefault="00000000" w:rsidRPr="00000000" w14:paraId="00000003">
      <w:pPr>
        <w:spacing w:after="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OIB: 19769006726 | MBS: 081634752 | temeljni kapital: 2.500,00 EUR</w:t>
      </w:r>
    </w:p>
    <w:p w:rsidR="00000000" w:rsidDel="00000000" w:rsidP="00000000" w:rsidRDefault="00000000" w:rsidRPr="00000000" w14:paraId="00000004">
      <w:pPr>
        <w:spacing w:after="0" w:lineRule="auto"/>
        <w:jc w:val="center"/>
        <w:rPr>
          <w:rFonts w:ascii="Verdana" w:cs="Verdana" w:eastAsia="Verdana" w:hAnsi="Verdana"/>
          <w:sz w:val="18"/>
          <w:szCs w:val="18"/>
        </w:rPr>
      </w:pPr>
      <w:r w:rsidDel="00000000" w:rsidR="00000000" w:rsidRPr="00000000">
        <w:rPr>
          <w:rFonts w:ascii="Verdana" w:cs="Verdana" w:eastAsia="Verdana" w:hAnsi="Verdana"/>
          <w:i w:val="1"/>
          <w:iCs w:val="1"/>
          <w:sz w:val="18"/>
          <w:szCs w:val="18"/>
          <w:rtl w:val="0"/>
        </w:rPr>
        <w:t xml:space="preserve">IBAN: HR6623600001103192695 | zastupano po direktoru Bori Milivojeviću</w:t>
      </w:r>
      <w:r w:rsidDel="00000000" w:rsidR="00000000" w:rsidRPr="00000000">
        <w:rPr>
          <w:rtl w:val="0"/>
        </w:rPr>
      </w:r>
    </w:p>
    <w:p w:rsidR="00000000" w:rsidDel="00000000" w:rsidP="00000000" w:rsidRDefault="00000000" w:rsidRPr="00000000" w14:paraId="00000005">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6">
      <w:pPr>
        <w:spacing w:after="0" w:lineRule="auto"/>
        <w:jc w:val="center"/>
        <w:rPr>
          <w:rFonts w:ascii="Verdana" w:cs="Verdana" w:eastAsia="Verdana" w:hAnsi="Verdana"/>
        </w:rPr>
      </w:pPr>
      <w:r w:rsidDel="00000000" w:rsidR="00000000" w:rsidRPr="00000000">
        <w:rPr>
          <w:rFonts w:ascii="Verdana" w:cs="Verdana" w:eastAsia="Verdana" w:hAnsi="Verdana"/>
          <w:b w:val="1"/>
          <w:bCs w:val="1"/>
          <w:rtl w:val="0"/>
        </w:rPr>
        <w:t xml:space="preserve">ODLUKA</w:t>
      </w:r>
      <w:r w:rsidDel="00000000" w:rsidR="00000000" w:rsidRPr="00000000">
        <w:rPr>
          <w:rtl w:val="0"/>
        </w:rPr>
      </w:r>
    </w:p>
    <w:p w:rsidR="00000000" w:rsidDel="00000000" w:rsidP="00000000" w:rsidRDefault="00000000" w:rsidRPr="00000000" w14:paraId="00000007">
      <w:pPr>
        <w:spacing w:after="0" w:lineRule="auto"/>
        <w:ind w:left="810"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o izdavanju obveznica s pravom konverzije</w:t>
      </w:r>
      <w:r w:rsidDel="00000000" w:rsidR="00000000" w:rsidRPr="00000000">
        <w:rPr>
          <w:rtl w:val="0"/>
        </w:rPr>
      </w:r>
    </w:p>
    <w:p w:rsidR="00000000" w:rsidDel="00000000" w:rsidP="00000000" w:rsidRDefault="00000000" w:rsidRPr="00000000" w14:paraId="00000008">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9">
      <w:pPr>
        <w:spacing w:line="276" w:lineRule="auto"/>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KOYKAN DRAVA d.o.o. , Prilaz Gjure Deželića 80, 10000 Zagreb, OIB: 19769006726 | MBS: 081634752 | temeljni kapital: 2.500,00 EUR, IBAN: HR6623600001103192695 | zastupano po direktoru Bori Milivojeviću (dalje: „Društvo“) dana 23.09.2026. godine donosi odluku o izdanju Obveznica u tranšama sa ciljanim iznosom izdanja 1.500.000,00 EUR po sljedećim parametrima:</w:t>
      </w:r>
    </w:p>
    <w:p w:rsidR="00000000" w:rsidDel="00000000" w:rsidP="00000000" w:rsidRDefault="00000000" w:rsidRPr="00000000" w14:paraId="0000000A">
      <w:pPr>
        <w:rPr>
          <w:rFonts w:ascii="Verdana" w:cs="Verdana" w:eastAsia="Verdana" w:hAnsi="Verdana"/>
          <w:sz w:val="18"/>
          <w:szCs w:val="18"/>
        </w:rPr>
      </w:pPr>
      <w:r w:rsidDel="00000000" w:rsidR="00000000" w:rsidRPr="00000000">
        <w:rPr>
          <w:rtl w:val="0"/>
        </w:rPr>
      </w:r>
    </w:p>
    <w:tbl>
      <w:tblPr>
        <w:tblStyle w:val="Table1"/>
        <w:tblW w:w="8789.0" w:type="dxa"/>
        <w:jc w:val="left"/>
        <w:tblBorders>
          <w:insideH w:color="000000" w:space="0" w:sz="4" w:val="single"/>
        </w:tblBorders>
        <w:tblLayout w:type="fixed"/>
        <w:tblLook w:val="0400"/>
      </w:tblPr>
      <w:tblGrid>
        <w:gridCol w:w="4678"/>
        <w:gridCol w:w="4111"/>
        <w:tblGridChange w:id="0">
          <w:tblGrid>
            <w:gridCol w:w="4678"/>
            <w:gridCol w:w="4111"/>
          </w:tblGrid>
        </w:tblGridChange>
      </w:tblGrid>
      <w:tr>
        <w:trPr>
          <w:cantSplit w:val="0"/>
          <w:trHeight w:val="300" w:hRule="atLeast"/>
          <w:tblHeader w:val="0"/>
        </w:trPr>
        <w:tc>
          <w:tcPr>
            <w:vAlign w:val="center"/>
          </w:tcPr>
          <w:p w:rsidR="00000000" w:rsidDel="00000000" w:rsidP="00000000" w:rsidRDefault="00000000" w:rsidRPr="00000000" w14:paraId="0000000B">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CILJANI IZNOS IZDANJA:</w:t>
            </w:r>
          </w:p>
        </w:tc>
        <w:tc>
          <w:tcPr>
            <w:vAlign w:val="center"/>
          </w:tcPr>
          <w:p w:rsidR="00000000" w:rsidDel="00000000" w:rsidP="00000000" w:rsidRDefault="00000000" w:rsidRPr="00000000" w14:paraId="0000000C">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1.500.000,00 EUR</w:t>
            </w:r>
          </w:p>
        </w:tc>
      </w:tr>
      <w:tr>
        <w:trPr>
          <w:cantSplit w:val="0"/>
          <w:trHeight w:val="315" w:hRule="atLeast"/>
          <w:tblHeader w:val="0"/>
        </w:trPr>
        <w:tc>
          <w:tcPr>
            <w:vAlign w:val="center"/>
          </w:tcPr>
          <w:p w:rsidR="00000000" w:rsidDel="00000000" w:rsidP="00000000" w:rsidRDefault="00000000" w:rsidRPr="00000000" w14:paraId="0000000D">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ROK TRAJANJA OBVEZNICA:</w:t>
            </w:r>
          </w:p>
        </w:tc>
        <w:tc>
          <w:tcPr>
            <w:vAlign w:val="center"/>
          </w:tcPr>
          <w:p w:rsidR="00000000" w:rsidDel="00000000" w:rsidP="00000000" w:rsidRDefault="00000000" w:rsidRPr="00000000" w14:paraId="0000000E">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godina od datuma izdanja</w:t>
            </w:r>
          </w:p>
        </w:tc>
      </w:tr>
      <w:tr>
        <w:trPr>
          <w:cantSplit w:val="0"/>
          <w:trHeight w:val="300" w:hRule="atLeast"/>
          <w:tblHeader w:val="0"/>
        </w:trPr>
        <w:tc>
          <w:tcPr>
            <w:vAlign w:val="center"/>
          </w:tcPr>
          <w:p w:rsidR="00000000" w:rsidDel="00000000" w:rsidP="00000000" w:rsidRDefault="00000000" w:rsidRPr="00000000" w14:paraId="0000000F">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KUPONSKA KAMATNA STOPA:</w:t>
            </w:r>
          </w:p>
        </w:tc>
        <w:tc>
          <w:tcPr>
            <w:vAlign w:val="center"/>
          </w:tcPr>
          <w:p w:rsidR="00000000" w:rsidDel="00000000" w:rsidP="00000000" w:rsidRDefault="00000000" w:rsidRPr="00000000" w14:paraId="00000010">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 p.a., fiksna</w:t>
            </w:r>
          </w:p>
        </w:tc>
      </w:tr>
      <w:tr>
        <w:trPr>
          <w:cantSplit w:val="0"/>
          <w:trHeight w:val="300" w:hRule="atLeast"/>
          <w:tblHeader w:val="0"/>
        </w:trPr>
        <w:tc>
          <w:tcPr>
            <w:vAlign w:val="center"/>
          </w:tcPr>
          <w:p w:rsidR="00000000" w:rsidDel="00000000" w:rsidP="00000000" w:rsidRDefault="00000000" w:rsidRPr="00000000" w14:paraId="00000011">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KUPONSKE KAMATNE STOPE:</w:t>
            </w:r>
          </w:p>
        </w:tc>
        <w:tc>
          <w:tcPr>
            <w:vAlign w:val="center"/>
          </w:tcPr>
          <w:p w:rsidR="00000000" w:rsidDel="00000000" w:rsidP="00000000" w:rsidRDefault="00000000" w:rsidRPr="00000000" w14:paraId="00000012">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polugodišnje</w:t>
            </w:r>
          </w:p>
        </w:tc>
      </w:tr>
      <w:tr>
        <w:trPr>
          <w:cantSplit w:val="0"/>
          <w:trHeight w:val="300" w:hRule="atLeast"/>
          <w:tblHeader w:val="0"/>
        </w:trPr>
        <w:tc>
          <w:tcPr>
            <w:vAlign w:val="center"/>
          </w:tcPr>
          <w:p w:rsidR="00000000" w:rsidDel="00000000" w:rsidP="00000000" w:rsidRDefault="00000000" w:rsidRPr="00000000" w14:paraId="00000013">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GLAVNICE:</w:t>
            </w:r>
          </w:p>
        </w:tc>
        <w:tc>
          <w:tcPr>
            <w:vAlign w:val="center"/>
          </w:tcPr>
          <w:p w:rsidR="00000000" w:rsidDel="00000000" w:rsidP="00000000" w:rsidRDefault="00000000" w:rsidRPr="00000000" w14:paraId="00000014">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jednokratno na kraju izdanja</w:t>
            </w:r>
          </w:p>
        </w:tc>
      </w:tr>
      <w:tr>
        <w:trPr>
          <w:cantSplit w:val="0"/>
          <w:trHeight w:val="300" w:hRule="atLeast"/>
          <w:tblHeader w:val="0"/>
        </w:trPr>
        <w:tc>
          <w:tcPr>
            <w:vAlign w:val="center"/>
          </w:tcPr>
          <w:p w:rsidR="00000000" w:rsidDel="00000000" w:rsidP="00000000" w:rsidRDefault="00000000" w:rsidRPr="00000000" w14:paraId="00000015">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VRSTA OBVEZNICE: </w:t>
            </w:r>
          </w:p>
        </w:tc>
        <w:tc>
          <w:tcPr>
            <w:vAlign w:val="center"/>
          </w:tcPr>
          <w:p w:rsidR="00000000" w:rsidDel="00000000" w:rsidP="00000000" w:rsidRDefault="00000000" w:rsidRPr="00000000" w14:paraId="00000016">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konvertibilna</w:t>
            </w:r>
          </w:p>
        </w:tc>
      </w:tr>
      <w:tr>
        <w:trPr>
          <w:cantSplit w:val="0"/>
          <w:trHeight w:val="300" w:hRule="atLeast"/>
          <w:tblHeader w:val="0"/>
        </w:trPr>
        <w:tc>
          <w:tcPr>
            <w:vAlign w:val="center"/>
          </w:tcPr>
          <w:p w:rsidR="00000000" w:rsidDel="00000000" w:rsidP="00000000" w:rsidRDefault="00000000" w:rsidRPr="00000000" w14:paraId="00000017">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MINIMALNI UPIS:</w:t>
            </w:r>
          </w:p>
        </w:tc>
        <w:tc>
          <w:tcPr>
            <w:vAlign w:val="center"/>
          </w:tcPr>
          <w:p w:rsidR="00000000" w:rsidDel="00000000" w:rsidP="00000000" w:rsidRDefault="00000000" w:rsidRPr="00000000" w14:paraId="00000018">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50.000,00 EUR</w:t>
            </w:r>
          </w:p>
        </w:tc>
      </w:tr>
      <w:tr>
        <w:trPr>
          <w:cantSplit w:val="0"/>
          <w:trHeight w:val="300" w:hRule="atLeast"/>
          <w:tblHeader w:val="0"/>
        </w:trPr>
        <w:tc>
          <w:tcPr>
            <w:vAlign w:val="center"/>
          </w:tcPr>
          <w:p w:rsidR="00000000" w:rsidDel="00000000" w:rsidP="00000000" w:rsidRDefault="00000000" w:rsidRPr="00000000" w14:paraId="00000019">
            <w:pPr>
              <w:spacing w:after="0" w:line="240" w:lineRule="auto"/>
              <w:rPr>
                <w:rFonts w:ascii="Verdana" w:cs="Verdana" w:eastAsia="Verdana" w:hAnsi="Verdana"/>
                <w:sz w:val="18"/>
                <w:szCs w:val="18"/>
              </w:rPr>
            </w:pPr>
            <w:r w:rsidDel="00000000" w:rsidR="00000000" w:rsidRPr="00000000">
              <w:rPr>
                <w:rtl w:val="0"/>
              </w:rPr>
            </w:r>
          </w:p>
        </w:tc>
        <w:tc>
          <w:tcPr>
            <w:vAlign w:val="center"/>
          </w:tcPr>
          <w:p w:rsidR="00000000" w:rsidDel="00000000" w:rsidP="00000000" w:rsidRDefault="00000000" w:rsidRPr="00000000" w14:paraId="0000001A">
            <w:pPr>
              <w:spacing w:after="0" w:line="240"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1B">
      <w:pPr>
        <w:spacing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može donijeti odluku o prijevremenom otkupu obveznica od trenutka izdanja obveznica do njenog dospijeća. Ukoliko neće biti prijevremenog otkupa glavnice, glavnice će se vratiti jednokratno na kraju izdanja, dok se kuponska kamatna stopa isplaćuje na kraju svakog polugodišta od od dana upisa.</w:t>
      </w:r>
    </w:p>
    <w:p w:rsidR="00000000" w:rsidDel="00000000" w:rsidP="00000000" w:rsidRDefault="00000000" w:rsidRPr="00000000" w14:paraId="0000001C">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Za navedeno koristimo iznimku od objave prospekta u skladu s primjenjivim odredbama članka 409. i članka 427. Zakona o tržištu kapitala.</w:t>
      </w:r>
    </w:p>
    <w:p w:rsidR="00000000" w:rsidDel="00000000" w:rsidP="00000000" w:rsidRDefault="00000000" w:rsidRPr="00000000" w14:paraId="0000001D">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Izdavatelj može donijeti odluku o prijevremenom otkupu obveznica, u cijelosti ili djelomično, uz isplatu nominalnog iznosa i pripadajuće kamate do dana otkupa, uz obavijest imateljima najmanje 60 dana unaprijed. Prijevremeni otkup može se provesti i prije isteka roka u kojem imatelj može podnijeti zahtjev za konverziju. </w:t>
      </w:r>
    </w:p>
    <w:p w:rsidR="00000000" w:rsidDel="00000000" w:rsidP="00000000" w:rsidRDefault="00000000" w:rsidRPr="00000000" w14:paraId="0000001E">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Također, obveznica ima opciju konverzije u vlasničke udjele koja će se omogućiti po sljedećim parametrima:</w:t>
      </w:r>
    </w:p>
    <w:p w:rsidR="00000000" w:rsidDel="00000000" w:rsidP="00000000" w:rsidRDefault="00000000" w:rsidRPr="00000000" w14:paraId="0000001F">
      <w:pPr>
        <w:numPr>
          <w:ilvl w:val="0"/>
          <w:numId w:val="1"/>
        </w:numPr>
        <w:spacing w:after="0" w:before="28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Ovom odlukom utvrđuje se mogućnost zamjene (konverzije) obveznica u vlasničke udjele Društva, ovisno o pravnom obliku Društva u trenutku konverzije.</w:t>
      </w:r>
    </w:p>
    <w:p w:rsidR="00000000" w:rsidDel="00000000" w:rsidP="00000000" w:rsidRDefault="00000000" w:rsidRPr="00000000" w14:paraId="00000020">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Vrste konverzije</w:t>
      </w:r>
      <w:r w:rsidDel="00000000" w:rsidR="00000000" w:rsidRPr="00000000">
        <w:rPr>
          <w:rtl w:val="0"/>
        </w:rPr>
      </w:r>
    </w:p>
    <w:p w:rsidR="00000000" w:rsidDel="00000000" w:rsidP="00000000" w:rsidRDefault="00000000" w:rsidRPr="00000000" w14:paraId="00000021">
      <w:pPr>
        <w:numPr>
          <w:ilvl w:val="2"/>
          <w:numId w:val="1"/>
        </w:numPr>
        <w:spacing w:after="0" w:line="276" w:lineRule="auto"/>
        <w:ind w:left="2160" w:hanging="360"/>
        <w:jc w:val="both"/>
        <w:rPr/>
      </w:pPr>
      <w:r w:rsidDel="00000000" w:rsidR="00000000" w:rsidRPr="00000000">
        <w:rPr>
          <w:rFonts w:ascii="Verdana" w:cs="Verdana" w:eastAsia="Verdana" w:hAnsi="Verdana"/>
          <w:sz w:val="18"/>
          <w:szCs w:val="18"/>
          <w:rtl w:val="0"/>
        </w:rPr>
        <w:t xml:space="preserve">Investitor može samostalno svojom odlukom, djelomično ili u cijelosti, zamijeniti nominalni iznos obveznice za:</w:t>
      </w:r>
      <w:r w:rsidDel="00000000" w:rsidR="00000000" w:rsidRPr="00000000">
        <w:rPr>
          <w:rtl w:val="0"/>
        </w:rPr>
      </w:r>
    </w:p>
    <w:p w:rsidR="00000000" w:rsidDel="00000000" w:rsidP="00000000" w:rsidRDefault="00000000" w:rsidRPr="00000000" w14:paraId="00000022">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poslovne udjele u Društvu ako je Društvo u obliku d.o.o., ili</w:t>
      </w:r>
    </w:p>
    <w:p w:rsidR="00000000" w:rsidDel="00000000" w:rsidP="00000000" w:rsidRDefault="00000000" w:rsidRPr="00000000" w14:paraId="00000023">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dionice Društva ako je Društvo prethodno preoblikovano u d.d.</w:t>
      </w:r>
    </w:p>
    <w:p w:rsidR="00000000" w:rsidDel="00000000" w:rsidP="00000000" w:rsidRDefault="00000000" w:rsidRPr="00000000" w14:paraId="0000002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Društvo nema pravo inicirati zahtjev za konverzijom niti na bilo koji način utjecati na odluku Investitora.</w:t>
      </w:r>
      <w:r w:rsidDel="00000000" w:rsidR="00000000" w:rsidRPr="00000000">
        <w:rPr>
          <w:rtl w:val="0"/>
        </w:rPr>
      </w:r>
    </w:p>
    <w:p w:rsidR="00000000" w:rsidDel="00000000" w:rsidP="00000000" w:rsidRDefault="00000000" w:rsidRPr="00000000" w14:paraId="00000025">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Svaki investitor može zamijeniti vrijednost obveznice za vlasničke udjele Društva pri čemu će se omjer iznosa obveznice i udjela utvrditi prema vrijednosti Društva utvrđenoj najkasnije do dana 31.12.2027.</w:t>
      </w:r>
      <w:r w:rsidDel="00000000" w:rsidR="00000000" w:rsidRPr="00000000">
        <w:rPr>
          <w:rtl w:val="0"/>
        </w:rPr>
      </w:r>
    </w:p>
    <w:p w:rsidR="00000000" w:rsidDel="00000000" w:rsidP="00000000" w:rsidRDefault="00000000" w:rsidRPr="00000000" w14:paraId="00000026">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angažirati vanjskog konzultanta koji će izraditi službenu procjenu vrijednosti Društva</w:t>
      </w:r>
      <w:r w:rsidDel="00000000" w:rsidR="00000000" w:rsidRPr="00000000">
        <w:rPr>
          <w:rtl w:val="0"/>
        </w:rPr>
      </w:r>
    </w:p>
    <w:p w:rsidR="00000000" w:rsidDel="00000000" w:rsidP="00000000" w:rsidRDefault="00000000" w:rsidRPr="00000000" w14:paraId="00000027">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najkasnije do dana 31.10.2027. godine razraditi model konverzije obveznica u udjele Društva i sazvati i skupštinu Društva radi donošenja odluke o načinu konverzije obveznica u udjele Društva</w:t>
      </w:r>
      <w:r w:rsidDel="00000000" w:rsidR="00000000" w:rsidRPr="00000000">
        <w:rPr>
          <w:rtl w:val="0"/>
        </w:rPr>
      </w:r>
    </w:p>
    <w:p w:rsidR="00000000" w:rsidDel="00000000" w:rsidP="00000000" w:rsidRDefault="00000000" w:rsidRPr="00000000" w14:paraId="00000028">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Instrument u koji će se obveznice moći konvertirati (poslovni udio, redovna dionica pojedine klase ili povlaštena dionica) kao i karakteristike toga instrumenta će biti objavljeni u trenutku kada Društvo ponudi konverziju investitorima sukladno rokovima iz ove odluke</w:t>
      </w:r>
      <w:r w:rsidDel="00000000" w:rsidR="00000000" w:rsidRPr="00000000">
        <w:rPr>
          <w:rtl w:val="0"/>
        </w:rPr>
      </w:r>
    </w:p>
    <w:p w:rsidR="00000000" w:rsidDel="00000000" w:rsidP="00000000" w:rsidRDefault="00000000" w:rsidRPr="00000000" w14:paraId="00000029">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će na zahtjev investitora sazvati skupštinu Društva radi donošenja odluke o povećanju temeljnog kapitala Društva izdavanjem novih udjela u cilju ostvarivanja prava investitora na konverziju obveznice u udjele Društva</w:t>
      </w:r>
      <w:r w:rsidDel="00000000" w:rsidR="00000000" w:rsidRPr="00000000">
        <w:rPr>
          <w:rtl w:val="0"/>
        </w:rPr>
      </w:r>
    </w:p>
    <w:p w:rsidR="00000000" w:rsidDel="00000000" w:rsidP="00000000" w:rsidRDefault="00000000" w:rsidRPr="00000000" w14:paraId="0000002A">
      <w:pPr>
        <w:spacing w:after="0" w:line="276" w:lineRule="auto"/>
        <w:ind w:left="144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B">
      <w:pPr>
        <w:numPr>
          <w:ilvl w:val="0"/>
          <w:numId w:val="1"/>
        </w:numPr>
        <w:spacing w:after="0" w:line="276" w:lineRule="auto"/>
        <w:ind w:left="720" w:hanging="360"/>
        <w:jc w:val="both"/>
        <w:rPr/>
      </w:pPr>
      <w:r w:rsidDel="00000000" w:rsidR="00000000" w:rsidRPr="00000000">
        <w:rPr>
          <w:rFonts w:ascii="Verdana" w:cs="Verdana" w:eastAsia="Verdana" w:hAnsi="Verdana"/>
          <w:sz w:val="18"/>
          <w:szCs w:val="18"/>
          <w:rtl w:val="0"/>
        </w:rPr>
        <w:t xml:space="preserve">Obveza uprave</w:t>
      </w:r>
      <w:r w:rsidDel="00000000" w:rsidR="00000000" w:rsidRPr="00000000">
        <w:rPr>
          <w:rtl w:val="0"/>
        </w:rPr>
      </w:r>
    </w:p>
    <w:p w:rsidR="00000000" w:rsidDel="00000000" w:rsidP="00000000" w:rsidRDefault="00000000" w:rsidRPr="00000000" w14:paraId="0000002C">
      <w:pPr>
        <w:spacing w:after="0" w:line="276" w:lineRule="auto"/>
        <w:ind w:left="144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se obvezuje da će, najkasnije 30.06.2028.:</w:t>
      </w:r>
    </w:p>
    <w:p w:rsidR="00000000" w:rsidDel="00000000" w:rsidP="00000000" w:rsidRDefault="00000000" w:rsidRPr="00000000" w14:paraId="0000002D">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Izraditi prijedlog tehničkog i pravnog modela konverzije obveznica u vlasničke udjele,</w:t>
      </w:r>
      <w:r w:rsidDel="00000000" w:rsidR="00000000" w:rsidRPr="00000000">
        <w:rPr>
          <w:rtl w:val="0"/>
        </w:rPr>
      </w:r>
    </w:p>
    <w:p w:rsidR="00000000" w:rsidDel="00000000" w:rsidP="00000000" w:rsidRDefault="00000000" w:rsidRPr="00000000" w14:paraId="0000002E">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Sazvati skupštinu Društva radi donošenja potrebnih odluka o provedbi konverzije, uključujući sve izmjene društvenih akata, kao i povećanje temeljnog kapitala ako je potrebno.</w:t>
      </w:r>
      <w:r w:rsidDel="00000000" w:rsidR="00000000" w:rsidRPr="00000000">
        <w:rPr>
          <w:rtl w:val="0"/>
        </w:rPr>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U slučaju da Uprava ne provede navedene aktivnosti u predviđenom roku, investitor zadržava pravo zatražiti povrat obveznice po izvornim uvjetima.</w:t>
      </w:r>
      <w:r w:rsidDel="00000000" w:rsidR="00000000" w:rsidRPr="00000000">
        <w:rPr>
          <w:rtl w:val="0"/>
        </w:rPr>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Vrijednost Društva potvrđuje se od strane Uprave, temeljem službene procjene ovlaštenih konzultanata.</w:t>
      </w:r>
      <w:r w:rsidDel="00000000" w:rsidR="00000000" w:rsidRPr="00000000">
        <w:rPr>
          <w:rtl w:val="0"/>
        </w:rPr>
      </w:r>
    </w:p>
    <w:p w:rsidR="00000000" w:rsidDel="00000000" w:rsidP="00000000" w:rsidRDefault="00000000" w:rsidRPr="00000000" w14:paraId="00000031">
      <w:pPr>
        <w:spacing w:after="0" w:line="276" w:lineRule="auto"/>
        <w:ind w:left="288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2">
      <w:pPr>
        <w:numPr>
          <w:ilvl w:val="0"/>
          <w:numId w:val="1"/>
        </w:numP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Postupak konverzije obveznice u udjele Društva:</w:t>
      </w:r>
    </w:p>
    <w:p w:rsidR="00000000" w:rsidDel="00000000" w:rsidP="00000000" w:rsidRDefault="00000000" w:rsidRPr="00000000" w14:paraId="00000033">
      <w:pPr>
        <w:numPr>
          <w:ilvl w:val="1"/>
          <w:numId w:val="1"/>
        </w:numPr>
        <w:spacing w:after="0" w:line="276" w:lineRule="auto"/>
        <w:ind w:left="1440" w:hanging="360"/>
        <w:rPr/>
      </w:pPr>
      <w:r w:rsidDel="00000000" w:rsidR="00000000" w:rsidRPr="00000000">
        <w:rPr>
          <w:rFonts w:ascii="Verdana" w:cs="Verdana" w:eastAsia="Verdana" w:hAnsi="Verdana"/>
          <w:sz w:val="18"/>
          <w:szCs w:val="18"/>
          <w:rtl w:val="0"/>
        </w:rPr>
        <w:t xml:space="preserve">Investitor može, u bilo kojem trenutku sukladno točki 1., a najkasnije u roku od 30 mjeseci od dana registracije emisije obveznica iskazati interes za konverzijom slanjem pisanog zahtjeva putem e-maila na službenu adresu </w:t>
      </w:r>
      <w:hyperlink r:id="rId7">
        <w:r w:rsidDel="00000000" w:rsidR="00000000" w:rsidRPr="00000000">
          <w:rPr>
            <w:rFonts w:ascii="Verdana" w:cs="Verdana" w:eastAsia="Verdana" w:hAnsi="Verdana"/>
            <w:sz w:val="18"/>
            <w:szCs w:val="18"/>
            <w:rtl w:val="0"/>
          </w:rPr>
          <w:t xml:space="preserve">obveznice@koykan.com</w:t>
        </w:r>
      </w:hyperlink>
      <w:r w:rsidDel="00000000" w:rsidR="00000000" w:rsidRPr="00000000">
        <w:rPr>
          <w:rtl w:val="0"/>
        </w:rPr>
      </w:r>
    </w:p>
    <w:p w:rsidR="00000000" w:rsidDel="00000000" w:rsidP="00000000" w:rsidRDefault="00000000" w:rsidRPr="00000000" w14:paraId="0000003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Odgovorna osoba potvrđuje primitak zahtjeva interesa u roku od 7 dana.</w:t>
      </w:r>
      <w:r w:rsidDel="00000000" w:rsidR="00000000" w:rsidRPr="00000000">
        <w:rPr>
          <w:rtl w:val="0"/>
        </w:rPr>
      </w:r>
    </w:p>
    <w:p w:rsidR="00000000" w:rsidDel="00000000" w:rsidP="00000000" w:rsidRDefault="00000000" w:rsidRPr="00000000" w14:paraId="00000035">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Društva obvezna je donijeti odluku o sazivanju skupštine radi provedbe konverzije, kako bi se pravovremeno omogućila realizacija prava investitora.</w:t>
      </w:r>
      <w:r w:rsidDel="00000000" w:rsidR="00000000" w:rsidRPr="00000000">
        <w:rPr>
          <w:rtl w:val="0"/>
        </w:rPr>
      </w:r>
    </w:p>
    <w:p w:rsidR="00000000" w:rsidDel="00000000" w:rsidP="00000000" w:rsidRDefault="00000000" w:rsidRPr="00000000" w14:paraId="00000036">
      <w:pPr>
        <w:numPr>
          <w:ilvl w:val="1"/>
          <w:numId w:val="1"/>
        </w:numPr>
        <w:spacing w:after="0" w:line="276" w:lineRule="auto"/>
        <w:ind w:left="1440" w:right="720" w:hanging="360"/>
        <w:jc w:val="both"/>
        <w:rPr/>
      </w:pPr>
      <w:r w:rsidDel="00000000" w:rsidR="00000000" w:rsidRPr="00000000">
        <w:rPr>
          <w:rFonts w:ascii="Verdana" w:cs="Verdana" w:eastAsia="Verdana" w:hAnsi="Verdana"/>
          <w:sz w:val="18"/>
          <w:szCs w:val="18"/>
          <w:rtl w:val="0"/>
        </w:rPr>
        <w:t xml:space="preserve">Investitor će prilikom realizacije svojih prava biti pravovremeno upoznat sa svim uvjetima konverzije, uključivo i procijenjenu vrijednost društva prilikom konverzije i biti će pozvan da samostalno svojom odlukom, djelomično ili u cijelosti pismeno potvrdi zahtjev za konverzijom putem e-maila.</w:t>
      </w:r>
      <w:r w:rsidDel="00000000" w:rsidR="00000000" w:rsidRPr="00000000">
        <w:rPr>
          <w:rtl w:val="0"/>
        </w:rPr>
      </w:r>
    </w:p>
    <w:p w:rsidR="00000000" w:rsidDel="00000000" w:rsidP="00000000" w:rsidRDefault="00000000" w:rsidRPr="00000000" w14:paraId="00000037">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Skupština Društva donosi odgovarajuće odluke koje uključuju povećanje temeljnog kapitala izdavanjem novih udjela ili vrijednosnih papira, i provodi druge relevantne korporativne radnje.</w:t>
      </w:r>
      <w:r w:rsidDel="00000000" w:rsidR="00000000" w:rsidRPr="00000000">
        <w:rPr>
          <w:rtl w:val="0"/>
        </w:rPr>
      </w:r>
    </w:p>
    <w:p w:rsidR="00000000" w:rsidDel="00000000" w:rsidP="00000000" w:rsidRDefault="00000000" w:rsidRPr="00000000" w14:paraId="00000038">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Nakon usvajanja tih odluka, poduzimaju se svi pravni i tehnički koraci u svrhu provedbe prijenosa obveznica te upisa novih udjela ili vrijednosnih papira u korist investitora.</w:t>
      </w:r>
      <w:r w:rsidDel="00000000" w:rsidR="00000000" w:rsidRPr="00000000">
        <w:rPr>
          <w:rtl w:val="0"/>
        </w:rPr>
      </w:r>
    </w:p>
    <w:p w:rsidR="00000000" w:rsidDel="00000000" w:rsidP="00000000" w:rsidRDefault="00000000" w:rsidRPr="00000000" w14:paraId="00000039">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Dostavljaju se ugovori nadležnim institucijama (npr. SKDD, sudski registar).</w:t>
      </w:r>
      <w:r w:rsidDel="00000000" w:rsidR="00000000" w:rsidRPr="00000000">
        <w:rPr>
          <w:rtl w:val="0"/>
        </w:rPr>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Po završetku procesa, nadležna institucija službeno obavještava i investitora i Društvo o provedenoj konverziji.</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76" w:lineRule="auto"/>
        <w:ind w:left="144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Svi postupci provedbe konverzije temelje se na važećem Zakonu o trgovačkim društvima i društvenim aktima Društva, a Uprava Društva odgovorna je za zakonitu i tehnički ispravnu provedbu.</w:t>
      </w:r>
    </w:p>
    <w:p w:rsidR="00000000" w:rsidDel="00000000" w:rsidP="00000000" w:rsidRDefault="00000000" w:rsidRPr="00000000" w14:paraId="0000003D">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ind w:right="54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KOYKAN DRAVA d.o.o.</w:t>
        <w:br w:type="textWrapping"/>
      </w:r>
      <w:r w:rsidDel="00000000" w:rsidR="00000000" w:rsidRPr="00000000">
        <w:rPr>
          <w:rFonts w:ascii="Verdana" w:cs="Verdana" w:eastAsia="Verdana" w:hAnsi="Verdana"/>
          <w:sz w:val="18"/>
          <w:szCs w:val="18"/>
          <w:rtl w:val="0"/>
        </w:rPr>
        <w:t xml:space="preserve">Boro Milivojević, direktor</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17.3228346456694" w:top="1417.3228346456694" w:left="1133.8582677165355" w:right="1133.8582677165355" w:header="425" w:footer="4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spacing w:after="32" w:lineRule="auto"/>
      <w:ind w:left="-5" w:hanging="10"/>
      <w:rPr>
        <w:rFonts w:ascii="Century Gothic" w:cs="Century Gothic" w:eastAsia="Century Gothic" w:hAnsi="Century Gothic"/>
        <w:b w:val="1"/>
        <w:bCs w:val="1"/>
        <w:color w:val="ba8c6d"/>
        <w:sz w:val="15"/>
        <w:szCs w:val="15"/>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paragraph" w:styleId="Header">
    <w:name w:val="header"/>
    <w:basedOn w:val="Normal"/>
    <w:link w:val="HeaderChar"/>
    <w:uiPriority w:val="99"/>
    <w:unhideWhenUsed w:val="1"/>
    <w:rsid w:val="00741896"/>
    <w:pPr>
      <w:tabs>
        <w:tab w:val="center" w:pos="4513"/>
        <w:tab w:val="right" w:pos="9026"/>
      </w:tabs>
      <w:spacing w:after="0" w:line="240" w:lineRule="auto"/>
    </w:pPr>
  </w:style>
  <w:style w:type="character" w:styleId="HeaderChar" w:customStyle="1">
    <w:name w:val="Header Char"/>
    <w:basedOn w:val="DefaultParagraphFont"/>
    <w:link w:val="Header"/>
    <w:uiPriority w:val="99"/>
    <w:rsid w:val="00741896"/>
    <w:rPr>
      <w:rFonts w:ascii="Calibri" w:cs="Calibri" w:eastAsia="Calibri" w:hAnsi="Calibri"/>
      <w:color w:val="000000"/>
    </w:rPr>
  </w:style>
  <w:style w:type="paragraph" w:styleId="Footer">
    <w:name w:val="footer"/>
    <w:basedOn w:val="Normal"/>
    <w:link w:val="FooterChar"/>
    <w:uiPriority w:val="99"/>
    <w:unhideWhenUsed w:val="1"/>
    <w:rsid w:val="00741896"/>
    <w:pPr>
      <w:tabs>
        <w:tab w:val="center" w:pos="4513"/>
        <w:tab w:val="right" w:pos="9026"/>
      </w:tabs>
      <w:spacing w:after="0" w:line="240" w:lineRule="auto"/>
    </w:pPr>
  </w:style>
  <w:style w:type="character" w:styleId="FooterChar" w:customStyle="1">
    <w:name w:val="Footer Char"/>
    <w:basedOn w:val="DefaultParagraphFont"/>
    <w:link w:val="Footer"/>
    <w:uiPriority w:val="99"/>
    <w:rsid w:val="00741896"/>
    <w:rPr>
      <w:rFonts w:ascii="Calibri" w:cs="Calibri" w:eastAsia="Calibri" w:hAnsi="Calibri"/>
      <w:color w:val="000000"/>
    </w:rPr>
  </w:style>
  <w:style w:type="paragraph" w:styleId="ListParagraph">
    <w:name w:val="List Paragraph"/>
    <w:basedOn w:val="Normal"/>
    <w:uiPriority w:val="72"/>
    <w:qFormat w:val="1"/>
    <w:rsid w:val="00F80DBE"/>
    <w:pPr>
      <w:spacing w:after="0" w:line="240" w:lineRule="auto"/>
      <w:ind w:left="720"/>
      <w:contextualSpacing w:val="1"/>
      <w:jc w:val="both"/>
    </w:pPr>
    <w:rPr>
      <w:rFonts w:cs="Times New Roman"/>
      <w:color w:val="auto"/>
      <w:lang w:eastAsia="en-US"/>
    </w:rPr>
  </w:style>
  <w:style w:type="table" w:styleId="TableGrid">
    <w:name w:val="Table Grid"/>
    <w:basedOn w:val="TableNormal"/>
    <w:uiPriority w:val="39"/>
    <w:rsid w:val="00F80DBE"/>
    <w:pPr>
      <w:spacing w:after="0" w:line="240" w:lineRule="auto"/>
    </w:pPr>
    <w:rPr>
      <w:rFonts w:asciiTheme="minorHAnsi" w:cstheme="minorBidi" w:eastAsiaTheme="minorHAnsi" w:hAnsi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pPr>
      <w:spacing w:after="0" w:line="240" w:lineRule="auto"/>
    </w:pPr>
    <w:tblPr>
      <w:tblStyleRowBandSize w:val="1"/>
      <w:tblStyleColBandSize w:val="1"/>
      <w:tblCellMar>
        <w:left w:w="108.0" w:type="dxa"/>
        <w:right w:w="108.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pPr>
      <w:spacing w:after="0" w:line="240" w:lineRule="auto"/>
    </w:pPr>
    <w:tblPr>
      <w:tblStyleRowBandSize w:val="1"/>
      <w:tblStyleColBandSize w:val="1"/>
      <w:tblCellMar>
        <w:left w:w="108.0" w:type="dxa"/>
        <w:right w:w="108.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pPr>
      <w:spacing w:after="0" w:line="240" w:lineRule="auto"/>
    </w:pPr>
    <w:tblPr>
      <w:tblStyleRowBandSize w:val="1"/>
      <w:tblStyleColBandSize w:val="1"/>
      <w:tblCellMar>
        <w:left w:w="108.0" w:type="dxa"/>
        <w:right w:w="108.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pPr>
      <w:spacing w:after="0" w:line="240" w:lineRule="auto"/>
    </w:pPr>
    <w:tblPr>
      <w:tblStyleRowBandSize w:val="1"/>
      <w:tblStyleColBandSize w:val="1"/>
      <w:tblCellMar>
        <w:left w:w="108.0" w:type="dxa"/>
        <w:right w:w="108.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3"/>
    <w:pPr>
      <w:spacing w:after="0" w:line="240" w:lineRule="auto"/>
    </w:pPr>
    <w:tblPr>
      <w:tblStyleRowBandSize w:val="1"/>
      <w:tblStyleColBandSize w:val="1"/>
      <w:tblCellMar>
        <w:left w:w="108.0" w:type="dxa"/>
        <w:right w:w="108.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pPr>
      <w:spacing w:after="0" w:line="240" w:lineRule="auto"/>
    </w:pPr>
    <w:tblPr>
      <w:tblStyleRowBandSize w:val="1"/>
      <w:tblStyleColBandSize w:val="1"/>
      <w:tblCellMar>
        <w:left w:w="108.0" w:type="dxa"/>
        <w:right w:w="108.0" w:type="dxa"/>
      </w:tblCellMar>
    </w:tblPr>
  </w:style>
  <w:style w:type="paragraph" w:styleId="Revision">
    <w:name w:val="Revision"/>
    <w:hidden w:val="1"/>
    <w:uiPriority w:val="99"/>
    <w:semiHidden w:val="1"/>
    <w:rsid w:val="00D2005C"/>
    <w:pPr>
      <w:spacing w:after="0" w:line="240" w:lineRule="auto"/>
    </w:pPr>
    <w:rPr>
      <w:color w:val="000000"/>
    </w:rPr>
  </w:style>
  <w:style w:type="character" w:styleId="CommentReference">
    <w:name w:val="annotation reference"/>
    <w:basedOn w:val="DefaultParagraphFont"/>
    <w:uiPriority w:val="99"/>
    <w:semiHidden w:val="1"/>
    <w:unhideWhenUsed w:val="1"/>
    <w:rsid w:val="00D2005C"/>
    <w:rPr>
      <w:sz w:val="16"/>
      <w:szCs w:val="16"/>
    </w:rPr>
  </w:style>
  <w:style w:type="paragraph" w:styleId="CommentText">
    <w:name w:val="annotation text"/>
    <w:basedOn w:val="Normal"/>
    <w:link w:val="CommentTextChar"/>
    <w:uiPriority w:val="99"/>
    <w:unhideWhenUsed w:val="1"/>
    <w:rsid w:val="00D2005C"/>
    <w:pPr>
      <w:spacing w:line="240" w:lineRule="auto"/>
    </w:pPr>
    <w:rPr>
      <w:sz w:val="20"/>
      <w:szCs w:val="20"/>
    </w:rPr>
  </w:style>
  <w:style w:type="character" w:styleId="CommentTextChar" w:customStyle="1">
    <w:name w:val="Comment Text Char"/>
    <w:basedOn w:val="DefaultParagraphFont"/>
    <w:link w:val="CommentText"/>
    <w:uiPriority w:val="99"/>
    <w:rsid w:val="00D2005C"/>
    <w:rPr>
      <w:color w:val="000000"/>
      <w:sz w:val="20"/>
      <w:szCs w:val="20"/>
    </w:rPr>
  </w:style>
  <w:style w:type="paragraph" w:styleId="CommentSubject">
    <w:name w:val="annotation subject"/>
    <w:basedOn w:val="CommentText"/>
    <w:next w:val="CommentText"/>
    <w:link w:val="CommentSubjectChar"/>
    <w:uiPriority w:val="99"/>
    <w:semiHidden w:val="1"/>
    <w:unhideWhenUsed w:val="1"/>
    <w:rsid w:val="00D2005C"/>
    <w:rPr>
      <w:b w:val="1"/>
      <w:bCs w:val="1"/>
    </w:rPr>
  </w:style>
  <w:style w:type="character" w:styleId="CommentSubjectChar" w:customStyle="1">
    <w:name w:val="Comment Subject Char"/>
    <w:basedOn w:val="CommentTextChar"/>
    <w:link w:val="CommentSubject"/>
    <w:uiPriority w:val="99"/>
    <w:semiHidden w:val="1"/>
    <w:rsid w:val="00D2005C"/>
    <w:rPr>
      <w:b w:val="1"/>
      <w:bCs w:val="1"/>
      <w:color w:val="000000"/>
      <w:sz w:val="20"/>
      <w:szCs w:val="20"/>
    </w:r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pPr>
      <w:spacing w:after="0" w:line="240" w:lineRule="auto"/>
    </w:pPr>
    <w:tblPr>
      <w:tblStyleRowBandSize w:val="1"/>
      <w:tblStyleColBandSize w:val="1"/>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pPr>
      <w:spacing w:after="0" w:line="240" w:lineRule="auto"/>
    </w:pPr>
    <w:tblPr>
      <w:tblStyleRowBandSize w:val="1"/>
      <w:tblStyleColBandSize w:val="1"/>
    </w:tblPr>
  </w:style>
  <w:style w:type="paragraph" w:styleId="NormalWeb">
    <w:name w:val="Normal (Web)"/>
    <w:basedOn w:val="Normal"/>
    <w:uiPriority w:val="99"/>
    <w:semiHidden w:val="1"/>
    <w:unhideWhenUsed w:val="1"/>
    <w:rsid w:val="00D41F34"/>
    <w:pPr>
      <w:spacing w:after="100" w:afterAutospacing="1" w:before="100" w:beforeAutospacing="1" w:line="240" w:lineRule="auto"/>
    </w:pPr>
    <w:rPr>
      <w:rFonts w:ascii="Times New Roman" w:cs="Times New Roman" w:eastAsia="Times New Roman" w:hAnsi="Times New Roman"/>
      <w:color w:val="auto"/>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bveznice@koykan.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UmBw7vlZSXcVBv8fcS3M6895Q==">CgMxLjA4AHIhMUhfWjV2SDJQM3hlb0NWQ0J6djVZdklNdUlqeFRFZHJj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2026-09-11T06:25:00Z</dcterms:created>
  <dc:creator>support@koykan.onmicrosoft.com</dc:creator>
</cp:coreProperties>
</file>