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right="720"/>
        <w:jc w:val="center"/>
        <w:rPr>
          <w:rFonts w:ascii="Verdana" w:cs="Verdana" w:eastAsia="Verdana" w:hAnsi="Verdana"/>
        </w:rPr>
      </w:pPr>
      <w:r w:rsidDel="00000000" w:rsidR="00000000" w:rsidRPr="00000000">
        <w:rPr>
          <w:rFonts w:ascii="Verdana" w:cs="Verdana" w:eastAsia="Verdana" w:hAnsi="Verdana"/>
          <w:b w:val="1"/>
          <w:bCs w:val="1"/>
          <w:rtl w:val="0"/>
        </w:rPr>
        <w:t xml:space="preserve">KOYKAN DRAVA d.o.o. </w:t>
      </w:r>
      <w:r w:rsidDel="00000000" w:rsidR="00000000" w:rsidRPr="00000000">
        <w:rPr>
          <w:rtl w:val="0"/>
        </w:rPr>
      </w:r>
    </w:p>
    <w:p w:rsidR="00000000" w:rsidDel="00000000" w:rsidP="00000000" w:rsidRDefault="00000000" w:rsidRPr="00000000" w14:paraId="00000002">
      <w:pPr>
        <w:spacing w:after="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Prilaz Gjure Deželića 80, 10000 Zagreb</w:t>
      </w:r>
    </w:p>
    <w:p w:rsidR="00000000" w:rsidDel="00000000" w:rsidP="00000000" w:rsidRDefault="00000000" w:rsidRPr="00000000" w14:paraId="00000003">
      <w:pPr>
        <w:spacing w:after="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OIB: 19769006726 | MBS: 081634752 | temeljni kapital: 2.500,00 EUR</w:t>
      </w:r>
    </w:p>
    <w:p w:rsidR="00000000" w:rsidDel="00000000" w:rsidP="00000000" w:rsidRDefault="00000000" w:rsidRPr="00000000" w14:paraId="00000004">
      <w:pPr>
        <w:spacing w:after="0" w:lineRule="auto"/>
        <w:jc w:val="center"/>
        <w:rPr>
          <w:rFonts w:ascii="Verdana" w:cs="Verdana" w:eastAsia="Verdana" w:hAnsi="Verdana"/>
          <w:sz w:val="18"/>
          <w:szCs w:val="18"/>
        </w:rPr>
      </w:pPr>
      <w:r w:rsidDel="00000000" w:rsidR="00000000" w:rsidRPr="00000000">
        <w:rPr>
          <w:rFonts w:ascii="Verdana" w:cs="Verdana" w:eastAsia="Verdana" w:hAnsi="Verdana"/>
          <w:i w:val="1"/>
          <w:iCs w:val="1"/>
          <w:sz w:val="18"/>
          <w:szCs w:val="18"/>
          <w:rtl w:val="0"/>
        </w:rPr>
        <w:t xml:space="preserve">IBAN: HR6623600001103192695 | zastupano po direktoru Bori Milivojeviću</w:t>
      </w:r>
      <w:r w:rsidDel="00000000" w:rsidR="00000000" w:rsidRPr="00000000">
        <w:rPr>
          <w:rtl w:val="0"/>
        </w:rPr>
      </w:r>
    </w:p>
    <w:p w:rsidR="00000000" w:rsidDel="00000000" w:rsidP="00000000" w:rsidRDefault="00000000" w:rsidRPr="00000000" w14:paraId="00000005">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6">
      <w:pPr>
        <w:spacing w:after="0" w:lineRule="auto"/>
        <w:jc w:val="center"/>
        <w:rPr>
          <w:rFonts w:ascii="Verdana" w:cs="Verdana" w:eastAsia="Verdana" w:hAnsi="Verdana"/>
        </w:rPr>
      </w:pPr>
      <w:r w:rsidDel="00000000" w:rsidR="00000000" w:rsidRPr="00000000">
        <w:rPr>
          <w:rFonts w:ascii="Verdana" w:cs="Verdana" w:eastAsia="Verdana" w:hAnsi="Verdana"/>
          <w:b w:val="1"/>
          <w:bCs w:val="1"/>
          <w:rtl w:val="0"/>
        </w:rPr>
        <w:t xml:space="preserve">ODLUKA</w:t>
      </w:r>
      <w:r w:rsidDel="00000000" w:rsidR="00000000" w:rsidRPr="00000000">
        <w:rPr>
          <w:rtl w:val="0"/>
        </w:rPr>
      </w:r>
    </w:p>
    <w:p w:rsidR="00000000" w:rsidDel="00000000" w:rsidP="00000000" w:rsidRDefault="00000000" w:rsidRPr="00000000" w14:paraId="00000007">
      <w:pPr>
        <w:spacing w:after="0" w:lineRule="auto"/>
        <w:ind w:left="810"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o izdavanju obveznica s pravom konverzije</w:t>
      </w:r>
      <w:r w:rsidDel="00000000" w:rsidR="00000000" w:rsidRPr="00000000">
        <w:rPr>
          <w:rtl w:val="0"/>
        </w:rPr>
      </w:r>
    </w:p>
    <w:p w:rsidR="00000000" w:rsidDel="00000000" w:rsidP="00000000" w:rsidRDefault="00000000" w:rsidRPr="00000000" w14:paraId="00000008">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9">
      <w:pPr>
        <w:spacing w:line="276" w:lineRule="auto"/>
        <w:ind w:left="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KOYKAN DRAVA d.o.o. , Prilaz Gjure Deželića 80, 10000 Zagreb, OIB: 19769006726 | MBS: 081634752 | temeljni kapital: 2.500,00 EUR, IBAN: HR6623600001103192695 | zastupano po direktoru Bori Milivojeviću (dalje: „Društvo“) dana 23.09.2026. godine donosi odluku o izdanju Obveznica u tranšama sa ciljanim iznosom izdanja 2.000.000,00 EUR po sljedećim parametrima:</w:t>
      </w:r>
    </w:p>
    <w:p w:rsidR="00000000" w:rsidDel="00000000" w:rsidP="00000000" w:rsidRDefault="00000000" w:rsidRPr="00000000" w14:paraId="0000000A">
      <w:pPr>
        <w:rPr>
          <w:rFonts w:ascii="Verdana" w:cs="Verdana" w:eastAsia="Verdana" w:hAnsi="Verdana"/>
          <w:sz w:val="18"/>
          <w:szCs w:val="18"/>
        </w:rPr>
      </w:pPr>
      <w:r w:rsidDel="00000000" w:rsidR="00000000" w:rsidRPr="00000000">
        <w:rPr>
          <w:rtl w:val="0"/>
        </w:rPr>
      </w:r>
    </w:p>
    <w:tbl>
      <w:tblPr>
        <w:tblStyle w:val="Table1"/>
        <w:tblW w:w="8789.0" w:type="dxa"/>
        <w:jc w:val="left"/>
        <w:tblBorders>
          <w:insideH w:color="000000" w:space="0" w:sz="4" w:val="single"/>
        </w:tblBorders>
        <w:tblLayout w:type="fixed"/>
        <w:tblLook w:val="0400"/>
      </w:tblPr>
      <w:tblGrid>
        <w:gridCol w:w="4678"/>
        <w:gridCol w:w="4111"/>
        <w:tblGridChange w:id="0">
          <w:tblGrid>
            <w:gridCol w:w="4678"/>
            <w:gridCol w:w="4111"/>
          </w:tblGrid>
        </w:tblGridChange>
      </w:tblGrid>
      <w:tr>
        <w:trPr>
          <w:cantSplit w:val="0"/>
          <w:trHeight w:val="300" w:hRule="atLeast"/>
          <w:tblHeader w:val="0"/>
        </w:trPr>
        <w:tc>
          <w:tcPr>
            <w:vAlign w:val="center"/>
          </w:tcPr>
          <w:p w:rsidR="00000000" w:rsidDel="00000000" w:rsidP="00000000" w:rsidRDefault="00000000" w:rsidRPr="00000000" w14:paraId="0000000B">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CILJANI IZNOS IZDANJA:</w:t>
            </w:r>
          </w:p>
        </w:tc>
        <w:tc>
          <w:tcPr>
            <w:vAlign w:val="center"/>
          </w:tcPr>
          <w:p w:rsidR="00000000" w:rsidDel="00000000" w:rsidP="00000000" w:rsidRDefault="00000000" w:rsidRPr="00000000" w14:paraId="0000000C">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2.000.000,00 EUR</w:t>
            </w:r>
          </w:p>
        </w:tc>
      </w:tr>
      <w:tr>
        <w:trPr>
          <w:cantSplit w:val="0"/>
          <w:trHeight w:val="315" w:hRule="atLeast"/>
          <w:tblHeader w:val="0"/>
        </w:trPr>
        <w:tc>
          <w:tcPr>
            <w:vAlign w:val="center"/>
          </w:tcPr>
          <w:p w:rsidR="00000000" w:rsidDel="00000000" w:rsidP="00000000" w:rsidRDefault="00000000" w:rsidRPr="00000000" w14:paraId="0000000D">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ROK TRAJANJA OBVEZNICA:</w:t>
            </w:r>
          </w:p>
        </w:tc>
        <w:tc>
          <w:tcPr>
            <w:vAlign w:val="center"/>
          </w:tcPr>
          <w:p w:rsidR="00000000" w:rsidDel="00000000" w:rsidP="00000000" w:rsidRDefault="00000000" w:rsidRPr="00000000" w14:paraId="0000000E">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godina od datuma izdanja</w:t>
            </w:r>
          </w:p>
        </w:tc>
      </w:tr>
      <w:tr>
        <w:trPr>
          <w:cantSplit w:val="0"/>
          <w:trHeight w:val="300" w:hRule="atLeast"/>
          <w:tblHeader w:val="0"/>
        </w:trPr>
        <w:tc>
          <w:tcPr>
            <w:vAlign w:val="center"/>
          </w:tcPr>
          <w:p w:rsidR="00000000" w:rsidDel="00000000" w:rsidP="00000000" w:rsidRDefault="00000000" w:rsidRPr="00000000" w14:paraId="0000000F">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KUPONSKA KAMATNA STOPA:</w:t>
            </w:r>
          </w:p>
        </w:tc>
        <w:tc>
          <w:tcPr>
            <w:vAlign w:val="center"/>
          </w:tcPr>
          <w:p w:rsidR="00000000" w:rsidDel="00000000" w:rsidP="00000000" w:rsidRDefault="00000000" w:rsidRPr="00000000" w14:paraId="00000010">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 p.a., fiksna</w:t>
            </w:r>
          </w:p>
        </w:tc>
      </w:tr>
      <w:tr>
        <w:trPr>
          <w:cantSplit w:val="0"/>
          <w:trHeight w:val="300" w:hRule="atLeast"/>
          <w:tblHeader w:val="0"/>
        </w:trPr>
        <w:tc>
          <w:tcPr>
            <w:vAlign w:val="center"/>
          </w:tcPr>
          <w:p w:rsidR="00000000" w:rsidDel="00000000" w:rsidP="00000000" w:rsidRDefault="00000000" w:rsidRPr="00000000" w14:paraId="00000011">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ISPLATA KUPONSKE KAMATNE STOPE:</w:t>
            </w:r>
          </w:p>
        </w:tc>
        <w:tc>
          <w:tcPr>
            <w:vAlign w:val="center"/>
          </w:tcPr>
          <w:p w:rsidR="00000000" w:rsidDel="00000000" w:rsidP="00000000" w:rsidRDefault="00000000" w:rsidRPr="00000000" w14:paraId="00000012">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polugodišnje</w:t>
            </w:r>
          </w:p>
        </w:tc>
      </w:tr>
      <w:tr>
        <w:trPr>
          <w:cantSplit w:val="0"/>
          <w:trHeight w:val="300" w:hRule="atLeast"/>
          <w:tblHeader w:val="0"/>
        </w:trPr>
        <w:tc>
          <w:tcPr>
            <w:vAlign w:val="center"/>
          </w:tcPr>
          <w:p w:rsidR="00000000" w:rsidDel="00000000" w:rsidP="00000000" w:rsidRDefault="00000000" w:rsidRPr="00000000" w14:paraId="00000013">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ISPLATA GLAVNICE:</w:t>
            </w:r>
          </w:p>
        </w:tc>
        <w:tc>
          <w:tcPr>
            <w:vAlign w:val="center"/>
          </w:tcPr>
          <w:p w:rsidR="00000000" w:rsidDel="00000000" w:rsidP="00000000" w:rsidRDefault="00000000" w:rsidRPr="00000000" w14:paraId="00000014">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jednokratno na kraju izdanja</w:t>
            </w:r>
          </w:p>
        </w:tc>
      </w:tr>
      <w:tr>
        <w:trPr>
          <w:cantSplit w:val="0"/>
          <w:trHeight w:val="300" w:hRule="atLeast"/>
          <w:tblHeader w:val="0"/>
        </w:trPr>
        <w:tc>
          <w:tcPr>
            <w:vAlign w:val="center"/>
          </w:tcPr>
          <w:p w:rsidR="00000000" w:rsidDel="00000000" w:rsidP="00000000" w:rsidRDefault="00000000" w:rsidRPr="00000000" w14:paraId="00000015">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VRSTA OBVEZNICE: </w:t>
            </w:r>
          </w:p>
        </w:tc>
        <w:tc>
          <w:tcPr>
            <w:vAlign w:val="center"/>
          </w:tcPr>
          <w:p w:rsidR="00000000" w:rsidDel="00000000" w:rsidP="00000000" w:rsidRDefault="00000000" w:rsidRPr="00000000" w14:paraId="00000016">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konvertibilna</w:t>
            </w:r>
          </w:p>
        </w:tc>
      </w:tr>
      <w:tr>
        <w:trPr>
          <w:cantSplit w:val="0"/>
          <w:trHeight w:val="300" w:hRule="atLeast"/>
          <w:tblHeader w:val="0"/>
        </w:trPr>
        <w:tc>
          <w:tcPr>
            <w:vAlign w:val="center"/>
          </w:tcPr>
          <w:p w:rsidR="00000000" w:rsidDel="00000000" w:rsidP="00000000" w:rsidRDefault="00000000" w:rsidRPr="00000000" w14:paraId="00000017">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MINIMALNI UPIS:</w:t>
            </w:r>
          </w:p>
        </w:tc>
        <w:tc>
          <w:tcPr>
            <w:vAlign w:val="center"/>
          </w:tcPr>
          <w:p w:rsidR="00000000" w:rsidDel="00000000" w:rsidP="00000000" w:rsidRDefault="00000000" w:rsidRPr="00000000" w14:paraId="00000018">
            <w:pPr>
              <w:spacing w:after="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5.000,00 EUR</w:t>
            </w:r>
          </w:p>
        </w:tc>
      </w:tr>
      <w:tr>
        <w:trPr>
          <w:cantSplit w:val="0"/>
          <w:trHeight w:val="300" w:hRule="atLeast"/>
          <w:tblHeader w:val="0"/>
        </w:trPr>
        <w:tc>
          <w:tcPr>
            <w:vAlign w:val="center"/>
          </w:tcPr>
          <w:p w:rsidR="00000000" w:rsidDel="00000000" w:rsidP="00000000" w:rsidRDefault="00000000" w:rsidRPr="00000000" w14:paraId="00000019">
            <w:pPr>
              <w:spacing w:after="0" w:line="240" w:lineRule="auto"/>
              <w:rPr>
                <w:rFonts w:ascii="Verdana" w:cs="Verdana" w:eastAsia="Verdana" w:hAnsi="Verdana"/>
                <w:sz w:val="18"/>
                <w:szCs w:val="18"/>
              </w:rPr>
            </w:pPr>
            <w:r w:rsidDel="00000000" w:rsidR="00000000" w:rsidRPr="00000000">
              <w:rPr>
                <w:rtl w:val="0"/>
              </w:rPr>
            </w:r>
          </w:p>
        </w:tc>
        <w:tc>
          <w:tcPr>
            <w:vAlign w:val="center"/>
          </w:tcPr>
          <w:p w:rsidR="00000000" w:rsidDel="00000000" w:rsidP="00000000" w:rsidRDefault="00000000" w:rsidRPr="00000000" w14:paraId="0000001A">
            <w:pPr>
              <w:spacing w:after="0" w:line="240"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1B">
      <w:pPr>
        <w:spacing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Uprava Društva može donijeti odluku o prijevremenom otkupu obveznica od trenutka izdanja obveznica do njenog dospijeća. Ukoliko neće biti prijevremenog otkupa glavnice, glavnice će se vratiti jednokratno na kraju izdanja, dok se kuponska kamatna stopa isplaćuje na kraju svakog polugodišta od </w:t>
      </w:r>
      <w:r w:rsidDel="00000000" w:rsidR="00000000" w:rsidRPr="00000000">
        <w:rPr>
          <w:rFonts w:ascii="Verdana" w:cs="Verdana" w:eastAsia="Verdana" w:hAnsi="Verdana"/>
          <w:sz w:val="18"/>
          <w:szCs w:val="18"/>
          <w:rtl w:val="0"/>
        </w:rPr>
        <w:t xml:space="preserve">od dana upisa.</w:t>
      </w:r>
      <w:r w:rsidDel="00000000" w:rsidR="00000000" w:rsidRPr="00000000">
        <w:rPr>
          <w:rtl w:val="0"/>
        </w:rPr>
      </w:r>
    </w:p>
    <w:p w:rsidR="00000000" w:rsidDel="00000000" w:rsidP="00000000" w:rsidRDefault="00000000" w:rsidRPr="00000000" w14:paraId="0000001C">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Za navedeno koristimo iznimku od objave prospekta u skladu s primjenjivim odredbama članka 409. i članka 427. Zakona o tržištu kapitala.</w:t>
      </w:r>
    </w:p>
    <w:p w:rsidR="00000000" w:rsidDel="00000000" w:rsidP="00000000" w:rsidRDefault="00000000" w:rsidRPr="00000000" w14:paraId="0000001D">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Izdavatelj može donijeti odluku o prijevremenom otkupu obveznica, u cijelosti ili djelomično, uz isplatu nominalnog iznosa i pripadajuće kamate do dana otkupa, uz obavijest imateljima najmanje 60 dana unaprijed. Prijevremeni otkup može se provesti i prije isteka roka u kojem imatelj može podnijeti zahtjev za konverziju. </w:t>
      </w:r>
    </w:p>
    <w:p w:rsidR="00000000" w:rsidDel="00000000" w:rsidP="00000000" w:rsidRDefault="00000000" w:rsidRPr="00000000" w14:paraId="0000001E">
      <w:pPr>
        <w:spacing w:before="240" w:line="276"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Također, obveznica ima opciju konverzije u vlasničke udjele koja će se omogućiti po sljedećim parametrima:</w:t>
      </w:r>
    </w:p>
    <w:p w:rsidR="00000000" w:rsidDel="00000000" w:rsidP="00000000" w:rsidRDefault="00000000" w:rsidRPr="00000000" w14:paraId="0000001F">
      <w:pPr>
        <w:numPr>
          <w:ilvl w:val="0"/>
          <w:numId w:val="1"/>
        </w:numPr>
        <w:spacing w:after="0" w:before="28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Ovom odlukom utvrđuje se mogućnost zamjene (konverzije) obveznica u vlasničke udjele Društva, ovisno o pravnom obliku Društva u trenutku konverzije.</w:t>
      </w:r>
    </w:p>
    <w:p w:rsidR="00000000" w:rsidDel="00000000" w:rsidP="00000000" w:rsidRDefault="00000000" w:rsidRPr="00000000" w14:paraId="00000020">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Vrste konverzije</w:t>
      </w:r>
      <w:r w:rsidDel="00000000" w:rsidR="00000000" w:rsidRPr="00000000">
        <w:rPr>
          <w:rtl w:val="0"/>
        </w:rPr>
      </w:r>
    </w:p>
    <w:p w:rsidR="00000000" w:rsidDel="00000000" w:rsidP="00000000" w:rsidRDefault="00000000" w:rsidRPr="00000000" w14:paraId="00000021">
      <w:pPr>
        <w:numPr>
          <w:ilvl w:val="2"/>
          <w:numId w:val="1"/>
        </w:numPr>
        <w:spacing w:after="0" w:line="276" w:lineRule="auto"/>
        <w:ind w:left="2160" w:hanging="360"/>
        <w:jc w:val="both"/>
        <w:rPr/>
      </w:pPr>
      <w:r w:rsidDel="00000000" w:rsidR="00000000" w:rsidRPr="00000000">
        <w:rPr>
          <w:rFonts w:ascii="Verdana" w:cs="Verdana" w:eastAsia="Verdana" w:hAnsi="Verdana"/>
          <w:sz w:val="18"/>
          <w:szCs w:val="18"/>
          <w:rtl w:val="0"/>
        </w:rPr>
        <w:t xml:space="preserve">Investitor može samostalno svojom odlukom, djelomično ili u cijelosti, zamijeniti nominalni iznos obveznice za:</w:t>
      </w:r>
      <w:r w:rsidDel="00000000" w:rsidR="00000000" w:rsidRPr="00000000">
        <w:rPr>
          <w:rtl w:val="0"/>
        </w:rPr>
      </w:r>
    </w:p>
    <w:p w:rsidR="00000000" w:rsidDel="00000000" w:rsidP="00000000" w:rsidRDefault="00000000" w:rsidRPr="00000000" w14:paraId="00000022">
      <w:pPr>
        <w:numPr>
          <w:ilvl w:val="3"/>
          <w:numId w:val="1"/>
        </w:numPr>
        <w:spacing w:after="0" w:line="276" w:lineRule="auto"/>
        <w:ind w:left="288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poslovne udjele u Društvu ako je Društvo u obliku d.o.o., ili</w:t>
      </w:r>
    </w:p>
    <w:p w:rsidR="00000000" w:rsidDel="00000000" w:rsidP="00000000" w:rsidRDefault="00000000" w:rsidRPr="00000000" w14:paraId="00000023">
      <w:pPr>
        <w:numPr>
          <w:ilvl w:val="3"/>
          <w:numId w:val="1"/>
        </w:numPr>
        <w:spacing w:after="0" w:line="276" w:lineRule="auto"/>
        <w:ind w:left="288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dionice Društva ako je Društvo prethodno preoblikovano u d.d.</w:t>
      </w:r>
    </w:p>
    <w:p w:rsidR="00000000" w:rsidDel="00000000" w:rsidP="00000000" w:rsidRDefault="00000000" w:rsidRPr="00000000" w14:paraId="00000024">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Društvo nema pravo inicirati zahtjev za konverzijom niti na bilo koji način utjecati na odluku Investitora.</w:t>
      </w:r>
      <w:r w:rsidDel="00000000" w:rsidR="00000000" w:rsidRPr="00000000">
        <w:rPr>
          <w:rtl w:val="0"/>
        </w:rPr>
      </w:r>
    </w:p>
    <w:p w:rsidR="00000000" w:rsidDel="00000000" w:rsidP="00000000" w:rsidRDefault="00000000" w:rsidRPr="00000000" w14:paraId="00000025">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Svaki investitor može zamijeniti vrijednost obveznice za vlasničke udjele Društva pri čemu će se omjer iznosa obveznice i udjela utvrditi prema vrijednosti Društva utvrđenoj najkasnije do dana 31.12.2027.</w:t>
      </w:r>
      <w:r w:rsidDel="00000000" w:rsidR="00000000" w:rsidRPr="00000000">
        <w:rPr>
          <w:rtl w:val="0"/>
        </w:rPr>
      </w:r>
    </w:p>
    <w:p w:rsidR="00000000" w:rsidDel="00000000" w:rsidP="00000000" w:rsidRDefault="00000000" w:rsidRPr="00000000" w14:paraId="00000026">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Uprava Društva se obvezuje angažirati vanjskog konzultanta koji će izraditi službenu procjenu vrijednosti Društva</w:t>
      </w:r>
      <w:r w:rsidDel="00000000" w:rsidR="00000000" w:rsidRPr="00000000">
        <w:rPr>
          <w:rtl w:val="0"/>
        </w:rPr>
      </w:r>
    </w:p>
    <w:p w:rsidR="00000000" w:rsidDel="00000000" w:rsidP="00000000" w:rsidRDefault="00000000" w:rsidRPr="00000000" w14:paraId="00000027">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Uprava Društva se obvezuje najkasnije do dana 31.10.2027. godine razraditi model konverzije obveznica u udjele Društva i sazvati i skupštinu Društva radi donošenja odluke o načinu konverzije obveznica u udjele Društva</w:t>
      </w:r>
      <w:r w:rsidDel="00000000" w:rsidR="00000000" w:rsidRPr="00000000">
        <w:rPr>
          <w:rtl w:val="0"/>
        </w:rPr>
      </w:r>
    </w:p>
    <w:p w:rsidR="00000000" w:rsidDel="00000000" w:rsidP="00000000" w:rsidRDefault="00000000" w:rsidRPr="00000000" w14:paraId="00000028">
      <w:pPr>
        <w:numPr>
          <w:ilvl w:val="1"/>
          <w:numId w:val="1"/>
        </w:numPr>
        <w:spacing w:after="0" w:line="240" w:lineRule="auto"/>
        <w:ind w:left="1440" w:hanging="360"/>
        <w:jc w:val="both"/>
        <w:rPr/>
      </w:pPr>
      <w:r w:rsidDel="00000000" w:rsidR="00000000" w:rsidRPr="00000000">
        <w:rPr>
          <w:rFonts w:ascii="Verdana" w:cs="Verdana" w:eastAsia="Verdana" w:hAnsi="Verdana"/>
          <w:sz w:val="18"/>
          <w:szCs w:val="18"/>
          <w:rtl w:val="0"/>
        </w:rPr>
        <w:t xml:space="preserve">Instrument u koji će se obveznice moći konvertirati (poslovni udio, redovna dionica pojedine klase ili povlaštena dionica) kao i karakteristike toga instrumenta će biti objavljeni u trenutku kada Društvo ponudi konverziju investitorima sukladno rokovima iz ove odluke</w:t>
      </w:r>
      <w:r w:rsidDel="00000000" w:rsidR="00000000" w:rsidRPr="00000000">
        <w:rPr>
          <w:rtl w:val="0"/>
        </w:rPr>
      </w:r>
    </w:p>
    <w:p w:rsidR="00000000" w:rsidDel="00000000" w:rsidP="00000000" w:rsidRDefault="00000000" w:rsidRPr="00000000" w14:paraId="00000029">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Uprava će na zahtjev investitora sazvati skupštinu Društva radi donošenja odluke o povećanju temeljnog kapitala Društva izdavanjem novih udjela u cilju ostvarivanja prava investitora na konverziju obveznice u udjele Društva</w:t>
      </w:r>
    </w:p>
    <w:p w:rsidR="00000000" w:rsidDel="00000000" w:rsidP="00000000" w:rsidRDefault="00000000" w:rsidRPr="00000000" w14:paraId="0000002A">
      <w:pPr>
        <w:spacing w:after="0" w:line="276" w:lineRule="auto"/>
        <w:ind w:left="144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B">
      <w:pPr>
        <w:numPr>
          <w:ilvl w:val="0"/>
          <w:numId w:val="1"/>
        </w:numPr>
        <w:spacing w:after="0" w:line="276" w:lineRule="auto"/>
        <w:ind w:left="720" w:hanging="360"/>
        <w:jc w:val="both"/>
        <w:rPr/>
      </w:pPr>
      <w:r w:rsidDel="00000000" w:rsidR="00000000" w:rsidRPr="00000000">
        <w:rPr>
          <w:rFonts w:ascii="Verdana" w:cs="Verdana" w:eastAsia="Verdana" w:hAnsi="Verdana"/>
          <w:sz w:val="18"/>
          <w:szCs w:val="18"/>
          <w:rtl w:val="0"/>
        </w:rPr>
        <w:t xml:space="preserve">Obveza uprave</w:t>
      </w:r>
      <w:r w:rsidDel="00000000" w:rsidR="00000000" w:rsidRPr="00000000">
        <w:rPr>
          <w:rtl w:val="0"/>
        </w:rPr>
      </w:r>
    </w:p>
    <w:p w:rsidR="00000000" w:rsidDel="00000000" w:rsidP="00000000" w:rsidRDefault="00000000" w:rsidRPr="00000000" w14:paraId="0000002C">
      <w:pPr>
        <w:spacing w:after="0" w:line="276" w:lineRule="auto"/>
        <w:ind w:left="144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Uprava Društva se obvezuje da će, najkasnije 30.06.2028.:</w:t>
      </w:r>
    </w:p>
    <w:p w:rsidR="00000000" w:rsidDel="00000000" w:rsidP="00000000" w:rsidRDefault="00000000" w:rsidRPr="00000000" w14:paraId="0000002D">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Izraditi prijedlog tehničkog i pravnog modela konverzije obveznica u vlasničke udjele,</w:t>
      </w:r>
      <w:r w:rsidDel="00000000" w:rsidR="00000000" w:rsidRPr="00000000">
        <w:rPr>
          <w:rtl w:val="0"/>
        </w:rPr>
      </w:r>
    </w:p>
    <w:p w:rsidR="00000000" w:rsidDel="00000000" w:rsidP="00000000" w:rsidRDefault="00000000" w:rsidRPr="00000000" w14:paraId="0000002E">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Sazvati skupštinu Društva radi donošenja potrebnih odluka o provedbi konverzije, uključujući sve izmjene društvenih akata, kao i povećanje temeljnog kapitala ako je potrebno.</w:t>
      </w:r>
      <w:r w:rsidDel="00000000" w:rsidR="00000000" w:rsidRPr="00000000">
        <w:rPr>
          <w:rtl w:val="0"/>
        </w:rPr>
      </w:r>
    </w:p>
    <w:p w:rsidR="00000000" w:rsidDel="00000000" w:rsidP="00000000" w:rsidRDefault="00000000" w:rsidRPr="00000000" w14:paraId="0000002F">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U slučaju da Uprava ne provede navedene aktivnosti u predviđenom roku, investitor zadržava pravo zatražiti povrat obveznice po izvornim uvjetima.</w:t>
      </w:r>
      <w:r w:rsidDel="00000000" w:rsidR="00000000" w:rsidRPr="00000000">
        <w:rPr>
          <w:rtl w:val="0"/>
        </w:rPr>
      </w:r>
    </w:p>
    <w:p w:rsidR="00000000" w:rsidDel="00000000" w:rsidP="00000000" w:rsidRDefault="00000000" w:rsidRPr="00000000" w14:paraId="00000030">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Vrijednost Društva potvrđuje se od strane Uprave, temeljem službene procjene ovlaštenih konzultanata.</w:t>
      </w:r>
      <w:r w:rsidDel="00000000" w:rsidR="00000000" w:rsidRPr="00000000">
        <w:rPr>
          <w:rtl w:val="0"/>
        </w:rPr>
      </w:r>
    </w:p>
    <w:p w:rsidR="00000000" w:rsidDel="00000000" w:rsidP="00000000" w:rsidRDefault="00000000" w:rsidRPr="00000000" w14:paraId="00000031">
      <w:pPr>
        <w:spacing w:after="0" w:line="276" w:lineRule="auto"/>
        <w:ind w:left="288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2">
      <w:pPr>
        <w:numPr>
          <w:ilvl w:val="0"/>
          <w:numId w:val="1"/>
        </w:numPr>
        <w:spacing w:after="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Postupak konverzije obveznice u udjele Društva:</w:t>
      </w:r>
    </w:p>
    <w:p w:rsidR="00000000" w:rsidDel="00000000" w:rsidP="00000000" w:rsidRDefault="00000000" w:rsidRPr="00000000" w14:paraId="00000033">
      <w:pPr>
        <w:numPr>
          <w:ilvl w:val="1"/>
          <w:numId w:val="1"/>
        </w:numPr>
        <w:spacing w:after="0" w:line="276" w:lineRule="auto"/>
        <w:ind w:left="1440" w:hanging="360"/>
        <w:rPr/>
      </w:pPr>
      <w:r w:rsidDel="00000000" w:rsidR="00000000" w:rsidRPr="00000000">
        <w:rPr>
          <w:rFonts w:ascii="Verdana" w:cs="Verdana" w:eastAsia="Verdana" w:hAnsi="Verdana"/>
          <w:sz w:val="18"/>
          <w:szCs w:val="18"/>
          <w:rtl w:val="0"/>
        </w:rPr>
        <w:t xml:space="preserve">Investitor može, u bilo kojem trenutku sukladno točki 1., a najkasnije u roku od 30 mjeseci od dana registracije emisije obveznica iskazati interes za konverzijom slanjem pisanog zahtjeva putem e-maila na službenu adresu </w:t>
      </w:r>
      <w:hyperlink r:id="rId7">
        <w:r w:rsidDel="00000000" w:rsidR="00000000" w:rsidRPr="00000000">
          <w:rPr>
            <w:rFonts w:ascii="Verdana" w:cs="Verdana" w:eastAsia="Verdana" w:hAnsi="Verdana"/>
            <w:sz w:val="18"/>
            <w:szCs w:val="18"/>
            <w:rtl w:val="0"/>
          </w:rPr>
          <w:t xml:space="preserve">obveznice@koykan.com</w:t>
        </w:r>
      </w:hyperlink>
      <w:r w:rsidDel="00000000" w:rsidR="00000000" w:rsidRPr="00000000">
        <w:rPr>
          <w:rtl w:val="0"/>
        </w:rPr>
      </w:r>
    </w:p>
    <w:p w:rsidR="00000000" w:rsidDel="00000000" w:rsidP="00000000" w:rsidRDefault="00000000" w:rsidRPr="00000000" w14:paraId="00000034">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Odgovorna osoba potvrđuje primitak zahtjeva interesa u roku od 7 dana.</w:t>
      </w:r>
      <w:r w:rsidDel="00000000" w:rsidR="00000000" w:rsidRPr="00000000">
        <w:rPr>
          <w:rtl w:val="0"/>
        </w:rPr>
      </w:r>
    </w:p>
    <w:p w:rsidR="00000000" w:rsidDel="00000000" w:rsidP="00000000" w:rsidRDefault="00000000" w:rsidRPr="00000000" w14:paraId="00000035">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Uprava Društva obvezna je donijeti odluku o sazivanju skupštine radi provedbe konverzije , kako bi se pravovremeno omogućila realizacija prava investitora.</w:t>
      </w:r>
      <w:r w:rsidDel="00000000" w:rsidR="00000000" w:rsidRPr="00000000">
        <w:rPr>
          <w:rtl w:val="0"/>
        </w:rPr>
      </w:r>
    </w:p>
    <w:p w:rsidR="00000000" w:rsidDel="00000000" w:rsidP="00000000" w:rsidRDefault="00000000" w:rsidRPr="00000000" w14:paraId="00000036">
      <w:pPr>
        <w:numPr>
          <w:ilvl w:val="1"/>
          <w:numId w:val="1"/>
        </w:numPr>
        <w:spacing w:after="0" w:line="276" w:lineRule="auto"/>
        <w:ind w:left="1440" w:right="720" w:hanging="360"/>
        <w:jc w:val="both"/>
        <w:rPr/>
      </w:pPr>
      <w:r w:rsidDel="00000000" w:rsidR="00000000" w:rsidRPr="00000000">
        <w:rPr>
          <w:rFonts w:ascii="Verdana" w:cs="Verdana" w:eastAsia="Verdana" w:hAnsi="Verdana"/>
          <w:sz w:val="18"/>
          <w:szCs w:val="18"/>
          <w:rtl w:val="0"/>
        </w:rPr>
        <w:t xml:space="preserve">Investitor će prilikom realizacije svojih prava biti pravovremeno upoznat sa svim uvjetima konverzije, uključivo i procijenjenu vrijednost društva prilikom konverzije i biti će pozvan da samostalno svojom odlukom, djelomično ili u cijelosti pismeno potvrdi zahtjev za konverzijom putem e-maila.</w:t>
      </w:r>
      <w:r w:rsidDel="00000000" w:rsidR="00000000" w:rsidRPr="00000000">
        <w:rPr>
          <w:rtl w:val="0"/>
        </w:rPr>
      </w:r>
    </w:p>
    <w:p w:rsidR="00000000" w:rsidDel="00000000" w:rsidP="00000000" w:rsidRDefault="00000000" w:rsidRPr="00000000" w14:paraId="00000037">
      <w:pPr>
        <w:numPr>
          <w:ilvl w:val="1"/>
          <w:numId w:val="1"/>
        </w:numPr>
        <w:spacing w:after="0" w:line="276" w:lineRule="auto"/>
        <w:ind w:left="1440" w:hanging="360"/>
        <w:jc w:val="both"/>
        <w:rPr/>
      </w:pPr>
      <w:r w:rsidDel="00000000" w:rsidR="00000000" w:rsidRPr="00000000">
        <w:rPr>
          <w:rFonts w:ascii="Verdana" w:cs="Verdana" w:eastAsia="Verdana" w:hAnsi="Verdana"/>
          <w:sz w:val="18"/>
          <w:szCs w:val="18"/>
          <w:rtl w:val="0"/>
        </w:rPr>
        <w:t xml:space="preserve">Skupština Društva donosi odgovarajuće odluke koje uključuju povećanje temeljnog kapitala izdavanjem novih udjela ili vrijednosnih papira, i provodi druge relevantne korporativne radnje.</w:t>
      </w:r>
      <w:r w:rsidDel="00000000" w:rsidR="00000000" w:rsidRPr="00000000">
        <w:rPr>
          <w:rtl w:val="0"/>
        </w:rPr>
      </w:r>
    </w:p>
    <w:p w:rsidR="00000000" w:rsidDel="00000000" w:rsidP="00000000" w:rsidRDefault="00000000" w:rsidRPr="00000000" w14:paraId="00000038">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Nakon usvajanja tih odluka, poduzimaju se svi pravni i tehnički koraci u svrhu provedbe prijenosa obveznica te upisa novih udjela ili vrijednosnih papira u korist investitora.</w:t>
      </w:r>
      <w:r w:rsidDel="00000000" w:rsidR="00000000" w:rsidRPr="00000000">
        <w:rPr>
          <w:rtl w:val="0"/>
        </w:rPr>
      </w:r>
    </w:p>
    <w:p w:rsidR="00000000" w:rsidDel="00000000" w:rsidP="00000000" w:rsidRDefault="00000000" w:rsidRPr="00000000" w14:paraId="00000039">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Dostavljaju se ugovori nadležnim institucijama (npr. SKDD, sudski registar).</w:t>
      </w:r>
      <w:r w:rsidDel="00000000" w:rsidR="00000000" w:rsidRPr="00000000">
        <w:rPr>
          <w:rtl w:val="0"/>
        </w:rPr>
      </w:r>
    </w:p>
    <w:p w:rsidR="00000000" w:rsidDel="00000000" w:rsidP="00000000" w:rsidRDefault="00000000" w:rsidRPr="00000000" w14:paraId="0000003A">
      <w:pPr>
        <w:numPr>
          <w:ilvl w:val="1"/>
          <w:numId w:val="1"/>
        </w:numPr>
        <w:pBdr>
          <w:top w:space="0" w:sz="0" w:val="nil"/>
          <w:left w:space="0" w:sz="0" w:val="nil"/>
          <w:bottom w:space="0" w:sz="0" w:val="nil"/>
          <w:right w:space="0" w:sz="0" w:val="nil"/>
          <w:between w:space="0" w:sz="0" w:val="nil"/>
        </w:pBdr>
        <w:spacing w:after="0" w:line="276" w:lineRule="auto"/>
        <w:ind w:left="1440" w:hanging="360"/>
        <w:jc w:val="both"/>
        <w:rPr/>
      </w:pPr>
      <w:r w:rsidDel="00000000" w:rsidR="00000000" w:rsidRPr="00000000">
        <w:rPr>
          <w:rFonts w:ascii="Verdana" w:cs="Verdana" w:eastAsia="Verdana" w:hAnsi="Verdana"/>
          <w:sz w:val="18"/>
          <w:szCs w:val="18"/>
          <w:rtl w:val="0"/>
        </w:rPr>
        <w:t xml:space="preserve">Po završetku procesa, nadležna institucija službeno obavještava i investitora i Društvo o provedenoj konverziji.</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76" w:lineRule="auto"/>
        <w:ind w:left="1440"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Svi postupci provedbe konverzije temelje se na važećem Zakonu o trgovačkim društvima i društvenim aktima Društva, a Uprava Društva odgovorna je za zakonitu i tehnički ispravnu provedbu.</w:t>
      </w:r>
    </w:p>
    <w:p w:rsidR="00000000" w:rsidDel="00000000" w:rsidP="00000000" w:rsidRDefault="00000000" w:rsidRPr="00000000" w14:paraId="0000003D">
      <w:pP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ind w:right="54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KOYKAN DRAVA d.o.o.</w:t>
        <w:br w:type="textWrapping"/>
      </w:r>
      <w:r w:rsidDel="00000000" w:rsidR="00000000" w:rsidRPr="00000000">
        <w:rPr>
          <w:rFonts w:ascii="Verdana" w:cs="Verdana" w:eastAsia="Verdana" w:hAnsi="Verdana"/>
          <w:sz w:val="18"/>
          <w:szCs w:val="18"/>
          <w:rtl w:val="0"/>
        </w:rPr>
        <w:t xml:space="preserve">Boro Milivojević, direktor</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17.3228346456694" w:top="1417.3228346456694" w:left="1133.8582677165355" w:right="1133.8582677165355" w:header="425" w:footer="42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spacing w:after="32" w:lineRule="auto"/>
      <w:ind w:left="-5" w:hanging="10"/>
      <w:rPr>
        <w:rFonts w:ascii="Century Gothic" w:cs="Century Gothic" w:eastAsia="Century Gothic" w:hAnsi="Century Gothic"/>
        <w:b w:val="1"/>
        <w:bCs w:val="1"/>
        <w:color w:val="ba8c6d"/>
        <w:sz w:val="15"/>
        <w:szCs w:val="15"/>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table" w:styleId="TableNormal3" w:customStyle="1">
    <w:name w:val="Table Normal3"/>
    <w:tblPr>
      <w:tblCellMar>
        <w:top w:w="0.0" w:type="dxa"/>
        <w:left w:w="0.0" w:type="dxa"/>
        <w:bottom w:w="0.0" w:type="dxa"/>
        <w:right w:w="0.0" w:type="dxa"/>
      </w:tblCellMar>
    </w:tblPr>
  </w:style>
  <w:style w:type="paragraph" w:styleId="Header">
    <w:name w:val="header"/>
    <w:basedOn w:val="Normal"/>
    <w:link w:val="HeaderChar"/>
    <w:uiPriority w:val="99"/>
    <w:unhideWhenUsed w:val="1"/>
    <w:rsid w:val="00741896"/>
    <w:pPr>
      <w:tabs>
        <w:tab w:val="center" w:pos="4513"/>
        <w:tab w:val="right" w:pos="9026"/>
      </w:tabs>
      <w:spacing w:after="0" w:line="240" w:lineRule="auto"/>
    </w:pPr>
  </w:style>
  <w:style w:type="character" w:styleId="HeaderChar" w:customStyle="1">
    <w:name w:val="Header Char"/>
    <w:basedOn w:val="DefaultParagraphFont"/>
    <w:link w:val="Header"/>
    <w:uiPriority w:val="99"/>
    <w:rsid w:val="00741896"/>
    <w:rPr>
      <w:rFonts w:ascii="Calibri" w:cs="Calibri" w:eastAsia="Calibri" w:hAnsi="Calibri"/>
      <w:color w:val="000000"/>
    </w:rPr>
  </w:style>
  <w:style w:type="paragraph" w:styleId="Footer">
    <w:name w:val="footer"/>
    <w:basedOn w:val="Normal"/>
    <w:link w:val="FooterChar"/>
    <w:uiPriority w:val="99"/>
    <w:unhideWhenUsed w:val="1"/>
    <w:rsid w:val="00741896"/>
    <w:pPr>
      <w:tabs>
        <w:tab w:val="center" w:pos="4513"/>
        <w:tab w:val="right" w:pos="9026"/>
      </w:tabs>
      <w:spacing w:after="0" w:line="240" w:lineRule="auto"/>
    </w:pPr>
  </w:style>
  <w:style w:type="character" w:styleId="FooterChar" w:customStyle="1">
    <w:name w:val="Footer Char"/>
    <w:basedOn w:val="DefaultParagraphFont"/>
    <w:link w:val="Footer"/>
    <w:uiPriority w:val="99"/>
    <w:rsid w:val="00741896"/>
    <w:rPr>
      <w:rFonts w:ascii="Calibri" w:cs="Calibri" w:eastAsia="Calibri" w:hAnsi="Calibri"/>
      <w:color w:val="000000"/>
    </w:rPr>
  </w:style>
  <w:style w:type="paragraph" w:styleId="ListParagraph">
    <w:name w:val="List Paragraph"/>
    <w:basedOn w:val="Normal"/>
    <w:uiPriority w:val="72"/>
    <w:qFormat w:val="1"/>
    <w:rsid w:val="00F80DBE"/>
    <w:pPr>
      <w:spacing w:after="0" w:line="240" w:lineRule="auto"/>
      <w:ind w:left="720"/>
      <w:contextualSpacing w:val="1"/>
      <w:jc w:val="both"/>
    </w:pPr>
    <w:rPr>
      <w:rFonts w:cs="Times New Roman"/>
      <w:color w:val="auto"/>
      <w:lang w:eastAsia="en-US"/>
    </w:rPr>
  </w:style>
  <w:style w:type="table" w:styleId="TableGrid">
    <w:name w:val="Table Grid"/>
    <w:basedOn w:val="TableNormal"/>
    <w:uiPriority w:val="39"/>
    <w:rsid w:val="00F80DBE"/>
    <w:pPr>
      <w:spacing w:after="0" w:line="240" w:lineRule="auto"/>
    </w:pPr>
    <w:rPr>
      <w:rFonts w:asciiTheme="minorHAnsi" w:cstheme="minorBidi" w:eastAsiaTheme="minorHAnsi" w:hAnsiTheme="minorHAns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pPr>
      <w:spacing w:after="0" w:line="240" w:lineRule="auto"/>
    </w:pPr>
    <w:tblPr>
      <w:tblStyleRowBandSize w:val="1"/>
      <w:tblStyleColBandSize w:val="1"/>
      <w:tblCellMar>
        <w:left w:w="108.0" w:type="dxa"/>
        <w:right w:w="108.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pPr>
      <w:spacing w:after="0" w:line="240" w:lineRule="auto"/>
    </w:pPr>
    <w:tblPr>
      <w:tblStyleRowBandSize w:val="1"/>
      <w:tblStyleColBandSize w:val="1"/>
      <w:tblCellMar>
        <w:left w:w="108.0" w:type="dxa"/>
        <w:right w:w="108.0" w:type="dxa"/>
      </w:tblCellMar>
    </w:tbl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pPr>
      <w:spacing w:after="0" w:line="240" w:lineRule="auto"/>
    </w:pPr>
    <w:tblPr>
      <w:tblStyleRowBandSize w:val="1"/>
      <w:tblStyleColBandSize w:val="1"/>
      <w:tblCellMar>
        <w:left w:w="108.0" w:type="dxa"/>
        <w:right w:w="108.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pPr>
      <w:spacing w:after="0" w:line="240" w:lineRule="auto"/>
    </w:pPr>
    <w:tblPr>
      <w:tblStyleRowBandSize w:val="1"/>
      <w:tblStyleColBandSize w:val="1"/>
      <w:tblCellMar>
        <w:left w:w="108.0" w:type="dxa"/>
        <w:right w:w="108.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3"/>
    <w:pPr>
      <w:spacing w:after="0" w:line="240" w:lineRule="auto"/>
    </w:pPr>
    <w:tblPr>
      <w:tblStyleRowBandSize w:val="1"/>
      <w:tblStyleColBandSize w:val="1"/>
      <w:tblCellMar>
        <w:left w:w="108.0" w:type="dxa"/>
        <w:right w:w="108.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pPr>
      <w:spacing w:after="0" w:line="240" w:lineRule="auto"/>
    </w:pPr>
    <w:tblPr>
      <w:tblStyleRowBandSize w:val="1"/>
      <w:tblStyleColBandSize w:val="1"/>
      <w:tblCellMar>
        <w:left w:w="108.0" w:type="dxa"/>
        <w:right w:w="108.0" w:type="dxa"/>
      </w:tblCellMar>
    </w:tblPr>
  </w:style>
  <w:style w:type="paragraph" w:styleId="Revision">
    <w:name w:val="Revision"/>
    <w:hidden w:val="1"/>
    <w:uiPriority w:val="99"/>
    <w:semiHidden w:val="1"/>
    <w:rsid w:val="00D2005C"/>
    <w:pPr>
      <w:spacing w:after="0" w:line="240" w:lineRule="auto"/>
    </w:pPr>
    <w:rPr>
      <w:color w:val="000000"/>
    </w:rPr>
  </w:style>
  <w:style w:type="character" w:styleId="CommentReference">
    <w:name w:val="annotation reference"/>
    <w:basedOn w:val="DefaultParagraphFont"/>
    <w:uiPriority w:val="99"/>
    <w:semiHidden w:val="1"/>
    <w:unhideWhenUsed w:val="1"/>
    <w:rsid w:val="00D2005C"/>
    <w:rPr>
      <w:sz w:val="16"/>
      <w:szCs w:val="16"/>
    </w:rPr>
  </w:style>
  <w:style w:type="paragraph" w:styleId="CommentText">
    <w:name w:val="annotation text"/>
    <w:basedOn w:val="Normal"/>
    <w:link w:val="CommentTextChar"/>
    <w:uiPriority w:val="99"/>
    <w:unhideWhenUsed w:val="1"/>
    <w:rsid w:val="00D2005C"/>
    <w:pPr>
      <w:spacing w:line="240" w:lineRule="auto"/>
    </w:pPr>
    <w:rPr>
      <w:sz w:val="20"/>
      <w:szCs w:val="20"/>
    </w:rPr>
  </w:style>
  <w:style w:type="character" w:styleId="CommentTextChar" w:customStyle="1">
    <w:name w:val="Comment Text Char"/>
    <w:basedOn w:val="DefaultParagraphFont"/>
    <w:link w:val="CommentText"/>
    <w:uiPriority w:val="99"/>
    <w:rsid w:val="00D2005C"/>
    <w:rPr>
      <w:color w:val="000000"/>
      <w:sz w:val="20"/>
      <w:szCs w:val="20"/>
    </w:rPr>
  </w:style>
  <w:style w:type="paragraph" w:styleId="CommentSubject">
    <w:name w:val="annotation subject"/>
    <w:basedOn w:val="CommentText"/>
    <w:next w:val="CommentText"/>
    <w:link w:val="CommentSubjectChar"/>
    <w:uiPriority w:val="99"/>
    <w:semiHidden w:val="1"/>
    <w:unhideWhenUsed w:val="1"/>
    <w:rsid w:val="00D2005C"/>
    <w:rPr>
      <w:b w:val="1"/>
      <w:bCs w:val="1"/>
    </w:rPr>
  </w:style>
  <w:style w:type="character" w:styleId="CommentSubjectChar" w:customStyle="1">
    <w:name w:val="Comment Subject Char"/>
    <w:basedOn w:val="CommentTextChar"/>
    <w:link w:val="CommentSubject"/>
    <w:uiPriority w:val="99"/>
    <w:semiHidden w:val="1"/>
    <w:rsid w:val="00D2005C"/>
    <w:rPr>
      <w:b w:val="1"/>
      <w:bCs w:val="1"/>
      <w:color w:val="000000"/>
      <w:sz w:val="20"/>
      <w:szCs w:val="20"/>
    </w:r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pPr>
      <w:spacing w:after="0" w:line="240" w:lineRule="auto"/>
    </w:pPr>
    <w:tblPr>
      <w:tblStyleRowBandSize w:val="1"/>
      <w:tblStyleColBandSize w:val="1"/>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pPr>
      <w:spacing w:after="0" w:line="240" w:lineRule="auto"/>
    </w:pPr>
    <w:tblPr>
      <w:tblStyleRowBandSize w:val="1"/>
      <w:tblStyleColBandSize w:val="1"/>
    </w:tblPr>
  </w:style>
  <w:style w:type="paragraph" w:styleId="NormalWeb">
    <w:name w:val="Normal (Web)"/>
    <w:basedOn w:val="Normal"/>
    <w:uiPriority w:val="99"/>
    <w:semiHidden w:val="1"/>
    <w:unhideWhenUsed w:val="1"/>
    <w:rsid w:val="00D41F34"/>
    <w:pPr>
      <w:spacing w:after="100" w:afterAutospacing="1" w:before="100" w:beforeAutospacing="1" w:line="240" w:lineRule="auto"/>
    </w:pPr>
    <w:rPr>
      <w:rFonts w:ascii="Times New Roman" w:cs="Times New Roman" w:eastAsia="Times New Roman" w:hAnsi="Times New Roman"/>
      <w:color w:val="auto"/>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bveznice@koykan.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LKyUhQFT4VYK7EBvyL9DihOz2w==">CgMxLjA4AGolChRzdWdnZXN0Lm92OHQ1YW9lamg0bhINQW5kcmVqIEJvbGZla2olChRzdWdnZXN0LnRmdnlmMDNkbXJqNBINQW5kcmVqIEJvbGZla2olChRzdWdnZXN0LnJibGVwOWF1ajc3dRINQW5kcmVqIEJvbGZla2olChRzdWdnZXN0LjFwNjU1dTRiYzRqMxINQW5kcmVqIEJvbGZla2olChRzdWdnZXN0LnZnZnRneTNjNWUzcxINQW5kcmVqIEJvbGZla3IhMUczV3hRQy14eGg5WWxhVkhFMERKMHd2elUyNnlVQm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2026-09-11T06:25:00Z</dcterms:created>
  <dc:creator>support@koykan.onmicrosoft.com</dc:creator>
</cp:coreProperties>
</file>